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B849C" w14:textId="6E405739" w:rsidR="00F46D53" w:rsidRPr="00496186" w:rsidRDefault="006C7430" w:rsidP="00496186">
      <w:pPr>
        <w:pStyle w:val="Prrafodelista"/>
        <w:spacing w:line="276" w:lineRule="auto"/>
        <w:ind w:left="1440" w:right="51"/>
        <w:jc w:val="center"/>
        <w:outlineLvl w:val="0"/>
        <w:rPr>
          <w:rFonts w:ascii="Century Gothic" w:hAnsi="Century Gothic" w:cs="Arial"/>
          <w:b/>
          <w:bCs/>
          <w:color w:val="000000"/>
          <w:sz w:val="22"/>
          <w:szCs w:val="22"/>
          <w:lang w:val="es-MX"/>
        </w:rPr>
      </w:pPr>
      <w:bookmarkStart w:id="0" w:name="_GoBack"/>
      <w:bookmarkEnd w:id="0"/>
      <w:r>
        <w:rPr>
          <w:rFonts w:ascii="Century Gothic" w:hAnsi="Century Gothic" w:cs="Arial"/>
          <w:b/>
          <w:bCs/>
          <w:color w:val="000000"/>
          <w:sz w:val="22"/>
          <w:szCs w:val="22"/>
          <w:lang w:val="es-MX"/>
        </w:rPr>
        <w:t xml:space="preserve">Anexo 9 </w:t>
      </w:r>
      <w:r w:rsidR="00F46D53" w:rsidRPr="00496186">
        <w:rPr>
          <w:rFonts w:ascii="Century Gothic" w:hAnsi="Century Gothic" w:cs="Arial"/>
          <w:b/>
          <w:bCs/>
          <w:color w:val="000000"/>
          <w:sz w:val="22"/>
          <w:szCs w:val="22"/>
          <w:lang w:val="es-MX"/>
        </w:rPr>
        <w:t>Análisis de recomendaciones no atendidas derivadas de evaluaciones externas</w:t>
      </w:r>
    </w:p>
    <w:p w14:paraId="01D5AE19" w14:textId="323EB6E1" w:rsidR="00496186" w:rsidRPr="004C745D" w:rsidRDefault="00496186" w:rsidP="00496186">
      <w:pPr>
        <w:spacing w:after="200" w:line="276" w:lineRule="auto"/>
        <w:ind w:right="51"/>
        <w:jc w:val="center"/>
        <w:rPr>
          <w:rFonts w:ascii="Century Gothic" w:hAnsi="Century Gothic" w:cs="Arial"/>
          <w:b/>
          <w:i/>
          <w:iCs/>
          <w:sz w:val="22"/>
          <w:szCs w:val="22"/>
          <w:lang w:val="es-MX"/>
        </w:rPr>
      </w:pPr>
    </w:p>
    <w:tbl>
      <w:tblPr>
        <w:tblW w:w="6522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6"/>
        <w:gridCol w:w="3776"/>
      </w:tblGrid>
      <w:tr w:rsidR="00496186" w:rsidRPr="008B5B74" w14:paraId="6F2A7A51" w14:textId="77777777" w:rsidTr="00496186">
        <w:trPr>
          <w:trHeight w:val="63"/>
        </w:trPr>
        <w:tc>
          <w:tcPr>
            <w:tcW w:w="2746" w:type="dxa"/>
            <w:shd w:val="clear" w:color="auto" w:fill="auto"/>
            <w:noWrap/>
            <w:vAlign w:val="bottom"/>
            <w:hideMark/>
          </w:tcPr>
          <w:p w14:paraId="7D849E37" w14:textId="77777777" w:rsidR="00496186" w:rsidRPr="008B5B74" w:rsidRDefault="00496186" w:rsidP="003827CE">
            <w:pPr>
              <w:rPr>
                <w:rFonts w:ascii="Century Gothic" w:hAnsi="Century Gothic" w:cs="Arial"/>
                <w:bCs/>
                <w:color w:val="000000"/>
                <w:sz w:val="16"/>
                <w:szCs w:val="16"/>
                <w:lang w:val="es-MX"/>
              </w:rPr>
            </w:pPr>
            <w:r w:rsidRPr="008B5B74">
              <w:rPr>
                <w:rFonts w:ascii="Century Gothic" w:hAnsi="Century Gothic" w:cs="Arial"/>
                <w:bCs/>
                <w:color w:val="000000"/>
                <w:sz w:val="16"/>
                <w:szCs w:val="16"/>
                <w:lang w:val="es-MX"/>
              </w:rPr>
              <w:t>Nombre del Programa:</w:t>
            </w:r>
          </w:p>
        </w:tc>
        <w:tc>
          <w:tcPr>
            <w:tcW w:w="3776" w:type="dxa"/>
            <w:shd w:val="clear" w:color="auto" w:fill="auto"/>
          </w:tcPr>
          <w:p w14:paraId="63B69978" w14:textId="77777777" w:rsidR="00496186" w:rsidRPr="003A5A14" w:rsidRDefault="00496186" w:rsidP="003827CE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3A5A14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MX"/>
              </w:rPr>
              <w:t>Programa Nacional de Becas</w:t>
            </w:r>
          </w:p>
        </w:tc>
      </w:tr>
      <w:tr w:rsidR="00496186" w:rsidRPr="008B5B74" w14:paraId="4DDD327F" w14:textId="77777777" w:rsidTr="00496186">
        <w:trPr>
          <w:trHeight w:val="149"/>
        </w:trPr>
        <w:tc>
          <w:tcPr>
            <w:tcW w:w="2746" w:type="dxa"/>
            <w:shd w:val="clear" w:color="auto" w:fill="auto"/>
            <w:noWrap/>
            <w:vAlign w:val="bottom"/>
            <w:hideMark/>
          </w:tcPr>
          <w:p w14:paraId="4BA35A94" w14:textId="77777777" w:rsidR="00496186" w:rsidRPr="008B5B74" w:rsidRDefault="00496186" w:rsidP="003827CE">
            <w:pPr>
              <w:rPr>
                <w:rFonts w:ascii="Century Gothic" w:hAnsi="Century Gothic" w:cs="Arial"/>
                <w:bCs/>
                <w:color w:val="000000"/>
                <w:sz w:val="16"/>
                <w:szCs w:val="16"/>
                <w:lang w:val="es-MX"/>
              </w:rPr>
            </w:pPr>
            <w:r w:rsidRPr="008B5B74">
              <w:rPr>
                <w:rFonts w:ascii="Century Gothic" w:hAnsi="Century Gothic" w:cs="Arial"/>
                <w:bCs/>
                <w:color w:val="000000"/>
                <w:sz w:val="16"/>
                <w:szCs w:val="16"/>
                <w:lang w:val="es-MX"/>
              </w:rPr>
              <w:t>Modalidad:</w:t>
            </w:r>
          </w:p>
        </w:tc>
        <w:tc>
          <w:tcPr>
            <w:tcW w:w="3776" w:type="dxa"/>
            <w:shd w:val="clear" w:color="auto" w:fill="auto"/>
          </w:tcPr>
          <w:p w14:paraId="54D6C1FF" w14:textId="77777777" w:rsidR="00496186" w:rsidRPr="003A5A14" w:rsidRDefault="00496186" w:rsidP="003827CE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3A5A14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MX"/>
              </w:rPr>
              <w:t>S243</w:t>
            </w:r>
          </w:p>
        </w:tc>
      </w:tr>
      <w:tr w:rsidR="00496186" w:rsidRPr="008B5B74" w14:paraId="378D6C92" w14:textId="77777777" w:rsidTr="00496186">
        <w:trPr>
          <w:trHeight w:val="81"/>
        </w:trPr>
        <w:tc>
          <w:tcPr>
            <w:tcW w:w="2746" w:type="dxa"/>
            <w:shd w:val="clear" w:color="auto" w:fill="auto"/>
            <w:noWrap/>
            <w:vAlign w:val="bottom"/>
            <w:hideMark/>
          </w:tcPr>
          <w:p w14:paraId="39E70A54" w14:textId="77777777" w:rsidR="00496186" w:rsidRPr="008B5B74" w:rsidRDefault="00496186" w:rsidP="003827CE">
            <w:pPr>
              <w:rPr>
                <w:rFonts w:ascii="Century Gothic" w:hAnsi="Century Gothic" w:cs="Arial"/>
                <w:bCs/>
                <w:color w:val="000000"/>
                <w:sz w:val="16"/>
                <w:szCs w:val="16"/>
                <w:lang w:val="es-MX"/>
              </w:rPr>
            </w:pPr>
            <w:r w:rsidRPr="008B5B74">
              <w:rPr>
                <w:rFonts w:ascii="Century Gothic" w:hAnsi="Century Gothic" w:cs="Arial"/>
                <w:bCs/>
                <w:color w:val="000000"/>
                <w:sz w:val="16"/>
                <w:szCs w:val="16"/>
                <w:lang w:val="es-MX"/>
              </w:rPr>
              <w:t>Dependencia/Entidad:</w:t>
            </w:r>
          </w:p>
        </w:tc>
        <w:tc>
          <w:tcPr>
            <w:tcW w:w="3776" w:type="dxa"/>
            <w:shd w:val="clear" w:color="auto" w:fill="auto"/>
          </w:tcPr>
          <w:p w14:paraId="6F840A56" w14:textId="77777777" w:rsidR="00496186" w:rsidRPr="003A5A14" w:rsidRDefault="00496186" w:rsidP="003827CE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3A5A14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MX"/>
              </w:rPr>
              <w:t>SEP</w:t>
            </w:r>
          </w:p>
        </w:tc>
      </w:tr>
      <w:tr w:rsidR="00496186" w:rsidRPr="008B5B74" w14:paraId="78764D65" w14:textId="77777777" w:rsidTr="00496186">
        <w:trPr>
          <w:trHeight w:val="154"/>
        </w:trPr>
        <w:tc>
          <w:tcPr>
            <w:tcW w:w="2746" w:type="dxa"/>
            <w:shd w:val="clear" w:color="auto" w:fill="auto"/>
            <w:noWrap/>
            <w:vAlign w:val="bottom"/>
            <w:hideMark/>
          </w:tcPr>
          <w:p w14:paraId="478AE319" w14:textId="77777777" w:rsidR="00496186" w:rsidRPr="008B5B74" w:rsidRDefault="00496186" w:rsidP="003827CE">
            <w:pPr>
              <w:rPr>
                <w:rFonts w:ascii="Century Gothic" w:hAnsi="Century Gothic" w:cs="Arial"/>
                <w:bCs/>
                <w:color w:val="000000"/>
                <w:sz w:val="16"/>
                <w:szCs w:val="16"/>
                <w:lang w:val="es-MX"/>
              </w:rPr>
            </w:pPr>
            <w:r w:rsidRPr="008B5B74">
              <w:rPr>
                <w:rFonts w:ascii="Century Gothic" w:hAnsi="Century Gothic" w:cs="Arial"/>
                <w:bCs/>
                <w:color w:val="000000"/>
                <w:sz w:val="16"/>
                <w:szCs w:val="16"/>
                <w:lang w:val="es-MX"/>
              </w:rPr>
              <w:t>Unidad Responsable:</w:t>
            </w:r>
          </w:p>
        </w:tc>
        <w:tc>
          <w:tcPr>
            <w:tcW w:w="3776" w:type="dxa"/>
            <w:shd w:val="clear" w:color="auto" w:fill="auto"/>
          </w:tcPr>
          <w:p w14:paraId="3637098E" w14:textId="77777777" w:rsidR="00496186" w:rsidRPr="003A5A14" w:rsidRDefault="00496186" w:rsidP="003827CE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</w:tr>
      <w:tr w:rsidR="00496186" w:rsidRPr="008B5B74" w14:paraId="6AC8C014" w14:textId="77777777" w:rsidTr="00496186">
        <w:trPr>
          <w:trHeight w:val="87"/>
        </w:trPr>
        <w:tc>
          <w:tcPr>
            <w:tcW w:w="2746" w:type="dxa"/>
            <w:shd w:val="clear" w:color="auto" w:fill="auto"/>
            <w:noWrap/>
            <w:vAlign w:val="bottom"/>
            <w:hideMark/>
          </w:tcPr>
          <w:p w14:paraId="6D842076" w14:textId="77777777" w:rsidR="00496186" w:rsidRPr="008B5B74" w:rsidRDefault="00496186" w:rsidP="003827CE">
            <w:pPr>
              <w:rPr>
                <w:rFonts w:ascii="Century Gothic" w:hAnsi="Century Gothic" w:cs="Arial"/>
                <w:bCs/>
                <w:color w:val="000000"/>
                <w:sz w:val="16"/>
                <w:szCs w:val="16"/>
                <w:lang w:val="es-MX"/>
              </w:rPr>
            </w:pPr>
            <w:r w:rsidRPr="008B5B74">
              <w:rPr>
                <w:rFonts w:ascii="Century Gothic" w:hAnsi="Century Gothic" w:cs="Arial"/>
                <w:bCs/>
                <w:color w:val="000000"/>
                <w:sz w:val="16"/>
                <w:szCs w:val="16"/>
                <w:lang w:val="es-MX"/>
              </w:rPr>
              <w:t>Tipo de Evaluación:</w:t>
            </w:r>
          </w:p>
        </w:tc>
        <w:tc>
          <w:tcPr>
            <w:tcW w:w="3776" w:type="dxa"/>
            <w:shd w:val="clear" w:color="auto" w:fill="auto"/>
          </w:tcPr>
          <w:p w14:paraId="00DE49FB" w14:textId="77777777" w:rsidR="00496186" w:rsidRPr="003A5A14" w:rsidRDefault="00496186" w:rsidP="003827CE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3A5A14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MX"/>
              </w:rPr>
              <w:t>Evaluación de Consistencia y Resultados</w:t>
            </w:r>
          </w:p>
        </w:tc>
      </w:tr>
      <w:tr w:rsidR="00496186" w:rsidRPr="008B5B74" w14:paraId="2530E197" w14:textId="77777777" w:rsidTr="00496186">
        <w:trPr>
          <w:trHeight w:val="175"/>
        </w:trPr>
        <w:tc>
          <w:tcPr>
            <w:tcW w:w="2746" w:type="dxa"/>
            <w:shd w:val="clear" w:color="auto" w:fill="auto"/>
            <w:noWrap/>
            <w:vAlign w:val="bottom"/>
            <w:hideMark/>
          </w:tcPr>
          <w:p w14:paraId="327DAB51" w14:textId="77777777" w:rsidR="00496186" w:rsidRPr="008B5B74" w:rsidRDefault="00496186" w:rsidP="003827CE">
            <w:pPr>
              <w:rPr>
                <w:rFonts w:ascii="Century Gothic" w:hAnsi="Century Gothic" w:cs="Arial"/>
                <w:bCs/>
                <w:color w:val="000000"/>
                <w:sz w:val="16"/>
                <w:szCs w:val="16"/>
                <w:lang w:val="es-MX"/>
              </w:rPr>
            </w:pPr>
            <w:r w:rsidRPr="008B5B74">
              <w:rPr>
                <w:rFonts w:ascii="Century Gothic" w:hAnsi="Century Gothic" w:cs="Arial"/>
                <w:bCs/>
                <w:color w:val="000000"/>
                <w:sz w:val="16"/>
                <w:szCs w:val="16"/>
                <w:lang w:val="es-MX"/>
              </w:rPr>
              <w:t>Año de la Evaluación:</w:t>
            </w:r>
          </w:p>
        </w:tc>
        <w:tc>
          <w:tcPr>
            <w:tcW w:w="3776" w:type="dxa"/>
            <w:shd w:val="clear" w:color="auto" w:fill="auto"/>
          </w:tcPr>
          <w:p w14:paraId="1A21FE99" w14:textId="77777777" w:rsidR="00496186" w:rsidRPr="003A5A14" w:rsidRDefault="00496186" w:rsidP="003827CE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3A5A14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MX"/>
              </w:rPr>
              <w:t>2017</w:t>
            </w:r>
          </w:p>
        </w:tc>
      </w:tr>
    </w:tbl>
    <w:p w14:paraId="5D74B851" w14:textId="4EA47D0B" w:rsidR="00496186" w:rsidRDefault="00496186" w:rsidP="00284560">
      <w:pPr>
        <w:spacing w:line="276" w:lineRule="auto"/>
        <w:ind w:right="51"/>
        <w:rPr>
          <w:rFonts w:ascii="Century Gothic" w:hAnsi="Century Gothic" w:cs="Arial"/>
          <w:b/>
          <w:iCs/>
          <w:szCs w:val="22"/>
          <w:lang w:val="es-MX"/>
        </w:rPr>
      </w:pPr>
    </w:p>
    <w:tbl>
      <w:tblPr>
        <w:tblW w:w="4782" w:type="pct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9"/>
        <w:gridCol w:w="5210"/>
      </w:tblGrid>
      <w:tr w:rsidR="00EA3E81" w:rsidRPr="008A4F29" w14:paraId="630DC624" w14:textId="77777777" w:rsidTr="002C5D93">
        <w:trPr>
          <w:trHeight w:val="428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9C3B" w14:textId="09313BBB" w:rsidR="00EA3E81" w:rsidRPr="008A4F29" w:rsidRDefault="00EA3E81" w:rsidP="00EA3E8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ES_tradnl"/>
              </w:rPr>
              <w:t>Recomendación o conclusión de FODA de Evaluaciones externas</w:t>
            </w:r>
          </w:p>
        </w:tc>
        <w:tc>
          <w:tcPr>
            <w:tcW w:w="2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429A" w14:textId="56808E0B" w:rsidR="00EA3E81" w:rsidRPr="008A4F29" w:rsidRDefault="00EA3E81" w:rsidP="008A4F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ES_tradnl"/>
              </w:rPr>
              <w:t>Razón por la que no fue atendida</w:t>
            </w:r>
          </w:p>
        </w:tc>
      </w:tr>
      <w:tr w:rsidR="000058EE" w:rsidRPr="008A4F29" w14:paraId="2C76AC1E" w14:textId="77777777" w:rsidTr="002C5D93">
        <w:trPr>
          <w:trHeight w:val="63"/>
        </w:trPr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35C8" w14:textId="77777777" w:rsidR="000058EE" w:rsidRPr="008A4F29" w:rsidRDefault="000058EE" w:rsidP="00EA3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ES_tradnl"/>
              </w:rPr>
            </w:pPr>
            <w:r w:rsidRPr="008A4F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ES_tradnl"/>
              </w:rPr>
              <w:t>Identifica de manera clara el problema de la interrupción de estudios en diferentes niveles educativos</w:t>
            </w:r>
          </w:p>
        </w:tc>
        <w:tc>
          <w:tcPr>
            <w:tcW w:w="209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1F7C" w14:textId="6DB46569" w:rsidR="000058EE" w:rsidRPr="008A4F29" w:rsidRDefault="000058EE" w:rsidP="00402EFC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ES_tradnl"/>
              </w:rPr>
              <w:t>Estas son conclusiones favorables de las evaluaciones externas</w:t>
            </w:r>
          </w:p>
        </w:tc>
      </w:tr>
      <w:tr w:rsidR="000058EE" w:rsidRPr="008A4F29" w14:paraId="264D169C" w14:textId="77777777" w:rsidTr="002C5D93">
        <w:trPr>
          <w:trHeight w:val="441"/>
        </w:trPr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F586" w14:textId="77777777" w:rsidR="000058EE" w:rsidRPr="008A4F29" w:rsidRDefault="000058EE" w:rsidP="00EA3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ES_tradnl"/>
              </w:rPr>
            </w:pPr>
            <w:r w:rsidRPr="008A4F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ES_tradnl"/>
              </w:rPr>
              <w:t>La caracterización diferenciada por nivel educativo permite conocer particularidades del problema</w:t>
            </w:r>
          </w:p>
        </w:tc>
        <w:tc>
          <w:tcPr>
            <w:tcW w:w="20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ED6C" w14:textId="3B789524" w:rsidR="000058EE" w:rsidRPr="008A4F29" w:rsidRDefault="000058EE" w:rsidP="00402EFC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ES_tradnl"/>
              </w:rPr>
            </w:pPr>
          </w:p>
        </w:tc>
      </w:tr>
      <w:tr w:rsidR="000058EE" w:rsidRPr="008A4F29" w14:paraId="27924234" w14:textId="77777777" w:rsidTr="002C5D93">
        <w:trPr>
          <w:trHeight w:val="489"/>
        </w:trPr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9C49" w14:textId="77777777" w:rsidR="000058EE" w:rsidRPr="008A4F29" w:rsidRDefault="000058EE" w:rsidP="00EA3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ES_tradnl"/>
              </w:rPr>
            </w:pPr>
            <w:r w:rsidRPr="008A4F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ES_tradnl"/>
              </w:rPr>
              <w:t>Se tienen dos indicadores en el PSE y un indicador en el PND que permiten verificar los resultados del PNB.</w:t>
            </w:r>
          </w:p>
        </w:tc>
        <w:tc>
          <w:tcPr>
            <w:tcW w:w="20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839F" w14:textId="1557B7BA" w:rsidR="000058EE" w:rsidRPr="008A4F29" w:rsidRDefault="000058EE" w:rsidP="00402EFC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ES_tradnl"/>
              </w:rPr>
            </w:pPr>
          </w:p>
        </w:tc>
      </w:tr>
      <w:tr w:rsidR="000058EE" w:rsidRPr="008A4F29" w14:paraId="447D5A9E" w14:textId="77777777" w:rsidTr="002C5D93">
        <w:trPr>
          <w:trHeight w:val="123"/>
        </w:trPr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DF49" w14:textId="77777777" w:rsidR="000058EE" w:rsidRPr="008A4F29" w:rsidRDefault="000058EE" w:rsidP="00EA3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ES_tradnl"/>
              </w:rPr>
            </w:pPr>
            <w:r w:rsidRPr="008A4F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ES_tradnl"/>
              </w:rPr>
              <w:t>Los mecanismos de atención están bien identificados.</w:t>
            </w:r>
          </w:p>
        </w:tc>
        <w:tc>
          <w:tcPr>
            <w:tcW w:w="20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DC1F" w14:textId="2E6EEE22" w:rsidR="000058EE" w:rsidRPr="008A4F29" w:rsidRDefault="000058EE" w:rsidP="00402EFC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ES_tradnl"/>
              </w:rPr>
            </w:pPr>
          </w:p>
        </w:tc>
      </w:tr>
      <w:tr w:rsidR="000058EE" w:rsidRPr="008A4F29" w14:paraId="137DD2F9" w14:textId="77777777" w:rsidTr="002C5D93">
        <w:trPr>
          <w:trHeight w:val="73"/>
        </w:trPr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F59F" w14:textId="6F77677B" w:rsidR="000058EE" w:rsidRPr="008A4F29" w:rsidRDefault="000058EE" w:rsidP="00EA3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ES_tradnl"/>
              </w:rPr>
            </w:pPr>
            <w:r w:rsidRPr="008A4F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ES_tradnl"/>
              </w:rPr>
              <w:t>Existe un procedimiento estandarizado para entregar los apoyos</w:t>
            </w:r>
          </w:p>
        </w:tc>
        <w:tc>
          <w:tcPr>
            <w:tcW w:w="20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8E87" w14:textId="77777777" w:rsidR="000058EE" w:rsidRPr="008A4F29" w:rsidRDefault="000058EE" w:rsidP="00402EFC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ES_tradnl"/>
              </w:rPr>
            </w:pPr>
          </w:p>
        </w:tc>
      </w:tr>
      <w:tr w:rsidR="00EA3E81" w:rsidRPr="00252ED6" w14:paraId="35C753DD" w14:textId="77777777" w:rsidTr="002C5D93">
        <w:trPr>
          <w:trHeight w:val="286"/>
        </w:trPr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D7F1" w14:textId="77777777" w:rsidR="00EA3E81" w:rsidRPr="002C5D93" w:rsidRDefault="00EA3E81" w:rsidP="002C5D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ES_tradnl"/>
              </w:rPr>
            </w:pPr>
            <w:r w:rsidRPr="002C5D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ES_tradnl"/>
              </w:rPr>
              <w:t>El Programa Nacional de Becas contempla apoyos para el docente e investigador lo que puede tener coincidencias o sinergias con el Programa para el Desarrollo Profesional Docente</w:t>
            </w:r>
          </w:p>
        </w:tc>
        <w:tc>
          <w:tcPr>
            <w:tcW w:w="2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14CA" w14:textId="2AD2C9F0" w:rsidR="001C325C" w:rsidRPr="002C5D93" w:rsidRDefault="000058EE" w:rsidP="000058EE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ES_tradnl"/>
              </w:rPr>
            </w:pPr>
            <w:r w:rsidRPr="002C5D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ES_tradnl"/>
              </w:rPr>
              <w:t xml:space="preserve">Se justificó no atenderlo porque </w:t>
            </w:r>
            <w:r w:rsidRPr="002C5D93">
              <w:rPr>
                <w:sz w:val="22"/>
                <w:szCs w:val="22"/>
              </w:rPr>
              <w:t>n</w:t>
            </w:r>
            <w:r w:rsidR="001C325C" w:rsidRPr="002C5D93">
              <w:rPr>
                <w:sz w:val="22"/>
                <w:szCs w:val="22"/>
              </w:rPr>
              <w:t xml:space="preserve">o estaba en el ámbito de </w:t>
            </w:r>
            <w:r w:rsidRPr="002C5D93">
              <w:rPr>
                <w:sz w:val="22"/>
                <w:szCs w:val="22"/>
              </w:rPr>
              <w:t>las</w:t>
            </w:r>
            <w:r w:rsidR="001C325C" w:rsidRPr="002C5D93">
              <w:rPr>
                <w:sz w:val="22"/>
                <w:szCs w:val="22"/>
              </w:rPr>
              <w:t xml:space="preserve"> competencias</w:t>
            </w:r>
            <w:r w:rsidRPr="002C5D93">
              <w:rPr>
                <w:sz w:val="22"/>
                <w:szCs w:val="22"/>
              </w:rPr>
              <w:t xml:space="preserve"> </w:t>
            </w:r>
            <w:r w:rsidR="002C5D93" w:rsidRPr="002C5D93">
              <w:rPr>
                <w:sz w:val="22"/>
                <w:szCs w:val="22"/>
              </w:rPr>
              <w:t xml:space="preserve">de diversas UR </w:t>
            </w:r>
            <w:r w:rsidRPr="002C5D93">
              <w:rPr>
                <w:sz w:val="22"/>
                <w:szCs w:val="22"/>
              </w:rPr>
              <w:t>del Programa Nacional de Becas</w:t>
            </w:r>
            <w:r w:rsidR="002C5D93" w:rsidRPr="002C5D93">
              <w:rPr>
                <w:sz w:val="22"/>
                <w:szCs w:val="22"/>
              </w:rPr>
              <w:t xml:space="preserve"> y algunas otras señalaron que el apoyo que brindan no es similar al Programa para el Desarrollo Profesional Docente.</w:t>
            </w:r>
          </w:p>
        </w:tc>
      </w:tr>
      <w:tr w:rsidR="00EA3E81" w:rsidRPr="008A4F29" w14:paraId="4DDBC897" w14:textId="77777777" w:rsidTr="002C5D93">
        <w:trPr>
          <w:trHeight w:val="956"/>
        </w:trPr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BE0B" w14:textId="77777777" w:rsidR="00EA3E81" w:rsidRPr="002C5D93" w:rsidRDefault="00EA3E81" w:rsidP="002C5D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ES_tradnl"/>
              </w:rPr>
            </w:pPr>
            <w:r w:rsidRPr="002C5D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ES_tradnl"/>
              </w:rPr>
              <w:t>El Programa coincide con el Programa de Becas de Posgrado y otras modalidades de apoyo a la calidad de Conacyt</w:t>
            </w:r>
          </w:p>
        </w:tc>
        <w:tc>
          <w:tcPr>
            <w:tcW w:w="2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7A25" w14:textId="4B379EB9" w:rsidR="00EA3E81" w:rsidRPr="002C5D93" w:rsidRDefault="001C325C" w:rsidP="001C32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ES_tradnl"/>
              </w:rPr>
            </w:pPr>
            <w:r w:rsidRPr="002C5D93">
              <w:rPr>
                <w:sz w:val="22"/>
                <w:szCs w:val="22"/>
              </w:rPr>
              <w:t>Se justificó no atenderlo porque la razón de ser de estas debilidades (coincidencias con otros programas de becas, por ejemplo) no son exactamente duplicidades, sino que existen diferencias en los productos y servicios brindados</w:t>
            </w:r>
          </w:p>
        </w:tc>
      </w:tr>
    </w:tbl>
    <w:p w14:paraId="5B8C803E" w14:textId="18870810" w:rsidR="00F46D53" w:rsidRDefault="00F46D53">
      <w:pPr>
        <w:rPr>
          <w:rFonts w:ascii="Century Gothic" w:hAnsi="Century Gothic" w:cs="Arial"/>
          <w:b/>
          <w:iCs/>
          <w:szCs w:val="22"/>
          <w:lang w:val="es-MX"/>
        </w:rPr>
      </w:pPr>
    </w:p>
    <w:sectPr w:rsidR="00F46D53" w:rsidSect="00105CC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46609"/>
    <w:multiLevelType w:val="hybridMultilevel"/>
    <w:tmpl w:val="6AD839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D5617"/>
    <w:multiLevelType w:val="hybridMultilevel"/>
    <w:tmpl w:val="E28A8A86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4B21AB3"/>
    <w:multiLevelType w:val="hybridMultilevel"/>
    <w:tmpl w:val="D99AAAB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FE"/>
    <w:rsid w:val="000058EE"/>
    <w:rsid w:val="00053164"/>
    <w:rsid w:val="0006342C"/>
    <w:rsid w:val="000836F0"/>
    <w:rsid w:val="000921CB"/>
    <w:rsid w:val="00092E2D"/>
    <w:rsid w:val="000C08B2"/>
    <w:rsid w:val="000F3223"/>
    <w:rsid w:val="00102038"/>
    <w:rsid w:val="00105CCD"/>
    <w:rsid w:val="00124149"/>
    <w:rsid w:val="00164531"/>
    <w:rsid w:val="001C325C"/>
    <w:rsid w:val="002248E4"/>
    <w:rsid w:val="00252ED6"/>
    <w:rsid w:val="00262FEA"/>
    <w:rsid w:val="00284560"/>
    <w:rsid w:val="002C04F9"/>
    <w:rsid w:val="002C5D93"/>
    <w:rsid w:val="002C7F44"/>
    <w:rsid w:val="002E405E"/>
    <w:rsid w:val="003066C6"/>
    <w:rsid w:val="003102AF"/>
    <w:rsid w:val="003145C8"/>
    <w:rsid w:val="00317313"/>
    <w:rsid w:val="00333807"/>
    <w:rsid w:val="00352E20"/>
    <w:rsid w:val="003666A8"/>
    <w:rsid w:val="003D43E9"/>
    <w:rsid w:val="00402EFC"/>
    <w:rsid w:val="0045161C"/>
    <w:rsid w:val="00483143"/>
    <w:rsid w:val="004866C3"/>
    <w:rsid w:val="00487266"/>
    <w:rsid w:val="00496186"/>
    <w:rsid w:val="004A1439"/>
    <w:rsid w:val="005000E3"/>
    <w:rsid w:val="00571A78"/>
    <w:rsid w:val="00627E6D"/>
    <w:rsid w:val="00644507"/>
    <w:rsid w:val="0069267A"/>
    <w:rsid w:val="006C7430"/>
    <w:rsid w:val="00723CD1"/>
    <w:rsid w:val="0076590F"/>
    <w:rsid w:val="007779C4"/>
    <w:rsid w:val="007A50D9"/>
    <w:rsid w:val="007E59A9"/>
    <w:rsid w:val="008172D9"/>
    <w:rsid w:val="008435DB"/>
    <w:rsid w:val="00892DF9"/>
    <w:rsid w:val="008A4F29"/>
    <w:rsid w:val="008F1624"/>
    <w:rsid w:val="0094007D"/>
    <w:rsid w:val="009520EB"/>
    <w:rsid w:val="00965474"/>
    <w:rsid w:val="00967A93"/>
    <w:rsid w:val="009B1F2C"/>
    <w:rsid w:val="009C589B"/>
    <w:rsid w:val="009F1CC4"/>
    <w:rsid w:val="00A03746"/>
    <w:rsid w:val="00A83AFE"/>
    <w:rsid w:val="00A869BC"/>
    <w:rsid w:val="00A94A7F"/>
    <w:rsid w:val="00B06DE2"/>
    <w:rsid w:val="00B125D5"/>
    <w:rsid w:val="00B55ADA"/>
    <w:rsid w:val="00BD5E41"/>
    <w:rsid w:val="00BE3087"/>
    <w:rsid w:val="00BF25AF"/>
    <w:rsid w:val="00C17C00"/>
    <w:rsid w:val="00C4510F"/>
    <w:rsid w:val="00CB0B79"/>
    <w:rsid w:val="00CC75EC"/>
    <w:rsid w:val="00CD35F9"/>
    <w:rsid w:val="00D60111"/>
    <w:rsid w:val="00D75317"/>
    <w:rsid w:val="00E11F55"/>
    <w:rsid w:val="00E67C95"/>
    <w:rsid w:val="00E95DE7"/>
    <w:rsid w:val="00EA3E81"/>
    <w:rsid w:val="00EA48A3"/>
    <w:rsid w:val="00ED2B76"/>
    <w:rsid w:val="00F46D53"/>
    <w:rsid w:val="00F473D7"/>
    <w:rsid w:val="00F84940"/>
    <w:rsid w:val="00F87616"/>
    <w:rsid w:val="00FC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79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C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A83AFE"/>
    <w:pPr>
      <w:ind w:left="720"/>
      <w:contextualSpacing/>
    </w:pPr>
    <w:rPr>
      <w:rFonts w:ascii="Times" w:eastAsia="Times" w:hAnsi="Times" w:cs="Times New Roman"/>
      <w:szCs w:val="20"/>
      <w:lang w:eastAsia="es-ES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rsid w:val="00A83AFE"/>
    <w:rPr>
      <w:rFonts w:ascii="Times" w:eastAsia="Times" w:hAnsi="Times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83C9AAE6-5C0C-4611-8120-A9112D34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Nélyda Solana Villanueva</dc:creator>
  <cp:keywords/>
  <dc:description/>
  <cp:lastModifiedBy>Usuario de Windows</cp:lastModifiedBy>
  <cp:revision>2</cp:revision>
  <dcterms:created xsi:type="dcterms:W3CDTF">2018-08-10T15:18:00Z</dcterms:created>
  <dcterms:modified xsi:type="dcterms:W3CDTF">2018-08-10T15:18:00Z</dcterms:modified>
</cp:coreProperties>
</file>